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B02C2" w14:textId="77777777" w:rsidR="00CB6F40" w:rsidRDefault="00CB6F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65D2D3" w14:textId="77777777" w:rsidR="00CB6F40" w:rsidRDefault="00FF2F6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Консорциум “Новое инженерное образование”</w:t>
      </w:r>
    </w:p>
    <w:p w14:paraId="6D55B65A" w14:textId="77777777" w:rsidR="00CB6F40" w:rsidRDefault="00FF2F6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Протокол бриф-сессии по теме «Новации Университетов в области инженерного образования в 2022-2023 гг.» </w:t>
      </w:r>
    </w:p>
    <w:p w14:paraId="48344584" w14:textId="4872BC9A" w:rsidR="00CB6F40" w:rsidRDefault="00FF2F6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№</w:t>
      </w:r>
      <w:r w:rsidR="001F3892" w:rsidRPr="00080D03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F3892" w:rsidRPr="00080D03"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1F3892" w:rsidRPr="00080D03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.2023</w:t>
      </w:r>
    </w:p>
    <w:p w14:paraId="185BB737" w14:textId="77777777" w:rsidR="00CB6F40" w:rsidRDefault="00FF2F6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Время проведения: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10:00-12:00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мск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1907FCA" w14:textId="77777777" w:rsidR="00CB6F40" w:rsidRDefault="00FF2F6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Формат: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удаленно, в режиме синхронного взаимодействия участников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zoom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Style w:val="a9"/>
        <w:tblW w:w="10632" w:type="dxa"/>
        <w:tblInd w:w="-9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788"/>
      </w:tblGrid>
      <w:tr w:rsidR="00CB6F40" w14:paraId="36129646" w14:textId="77777777">
        <w:tc>
          <w:tcPr>
            <w:tcW w:w="1844" w:type="dxa"/>
          </w:tcPr>
          <w:p w14:paraId="6F8334CF" w14:textId="77777777" w:rsidR="00CB6F40" w:rsidRDefault="00FF2F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Ведущий:</w:t>
            </w:r>
          </w:p>
        </w:tc>
        <w:tc>
          <w:tcPr>
            <w:tcW w:w="8788" w:type="dxa"/>
          </w:tcPr>
          <w:p w14:paraId="178DCD88" w14:textId="77777777" w:rsidR="00CB6F40" w:rsidRDefault="00FF2F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Кабаева Е.В. (ТПУ).</w:t>
            </w:r>
          </w:p>
        </w:tc>
      </w:tr>
      <w:tr w:rsidR="00CB6F40" w14:paraId="5E0BA7BA" w14:textId="77777777">
        <w:tc>
          <w:tcPr>
            <w:tcW w:w="1844" w:type="dxa"/>
          </w:tcPr>
          <w:p w14:paraId="021BDA4B" w14:textId="77777777" w:rsidR="00CB6F40" w:rsidRDefault="00FF2F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Секретарь:</w:t>
            </w:r>
          </w:p>
        </w:tc>
        <w:tc>
          <w:tcPr>
            <w:tcW w:w="8788" w:type="dxa"/>
          </w:tcPr>
          <w:p w14:paraId="01922114" w14:textId="77777777" w:rsidR="00CB6F40" w:rsidRDefault="00FF2F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Ли Ю.В. (ТПУ).</w:t>
            </w:r>
          </w:p>
        </w:tc>
      </w:tr>
      <w:tr w:rsidR="00CB6F40" w14:paraId="3D0E9AC0" w14:textId="77777777">
        <w:tc>
          <w:tcPr>
            <w:tcW w:w="1844" w:type="dxa"/>
          </w:tcPr>
          <w:p w14:paraId="002E6289" w14:textId="77777777" w:rsidR="00CB6F40" w:rsidRDefault="00FF2F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Присутствовали:</w:t>
            </w:r>
          </w:p>
        </w:tc>
        <w:tc>
          <w:tcPr>
            <w:tcW w:w="8788" w:type="dxa"/>
          </w:tcPr>
          <w:p w14:paraId="0E86CB95" w14:textId="0B7629E9" w:rsidR="00CB6F40" w:rsidRDefault="00FF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Университеты, являющиеся членами Консорциума: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Рыжих Ю. Н. (ТГУ); Арышева Г. В. (ТПУ);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Головачева Е. А. (ТПУ); </w:t>
            </w:r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Кравцов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(НИЯУ МИФИ</w:t>
            </w:r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; Демьяненко О. В. (ТГАСУ); Шульгина Ю. В. (ТУСУР); Хлебников Н. А.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УрФУ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Дьячкова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А. Ю.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УрФУ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); </w:t>
            </w:r>
            <w:proofErr w:type="spellStart"/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Подалкин</w:t>
            </w:r>
            <w:proofErr w:type="spellEnd"/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 (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МГТУ им. Н.Э. Баумана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);</w:t>
            </w:r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Анопко</w:t>
            </w:r>
            <w:proofErr w:type="spellEnd"/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С.В.( ТГУ); Штополь Е.А. (ТПУ), Трушкина Е.С.(ТПУ), Мамонова Т.Е. (ТПУ); </w:t>
            </w:r>
            <w:proofErr w:type="spellStart"/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Ударатин</w:t>
            </w:r>
            <w:proofErr w:type="spellEnd"/>
            <w:r w:rsidR="001F389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А.О. (ЧГУ); Кабаева Е.В. (ТПУ).</w:t>
            </w:r>
          </w:p>
          <w:p w14:paraId="643CD43E" w14:textId="257AF9FA" w:rsidR="00CB6F40" w:rsidRPr="00D13823" w:rsidRDefault="00FF2F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Университеты, не являющиеся членами Консорциума: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Ожегов А. Н. (</w:t>
            </w:r>
            <w:proofErr w:type="spellStart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ВятГУ</w:t>
            </w:r>
            <w:proofErr w:type="spellEnd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); </w:t>
            </w:r>
            <w:proofErr w:type="spellStart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Плюснин</w:t>
            </w:r>
            <w:proofErr w:type="spellEnd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Е. С. (</w:t>
            </w:r>
            <w:proofErr w:type="spellStart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ВятГУ</w:t>
            </w:r>
            <w:proofErr w:type="spellEnd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); Губин И. В. (</w:t>
            </w:r>
            <w:proofErr w:type="spellStart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ВятГу</w:t>
            </w:r>
            <w:proofErr w:type="spellEnd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); Рублева О. А. (</w:t>
            </w:r>
            <w:proofErr w:type="spellStart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ВятГу</w:t>
            </w:r>
            <w:proofErr w:type="spellEnd"/>
            <w:r w:rsidRPr="00D138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); Швец Я. О. (ГУАП).</w:t>
            </w:r>
          </w:p>
          <w:p w14:paraId="2DC6C209" w14:textId="77777777" w:rsidR="00CB6F40" w:rsidRDefault="00CB6F40" w:rsidP="0077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0" w:name="_GoBack"/>
            <w:bookmarkEnd w:id="0"/>
          </w:p>
        </w:tc>
      </w:tr>
      <w:tr w:rsidR="00CB6F40" w14:paraId="78295690" w14:textId="77777777">
        <w:trPr>
          <w:trHeight w:val="249"/>
        </w:trPr>
        <w:tc>
          <w:tcPr>
            <w:tcW w:w="1844" w:type="dxa"/>
          </w:tcPr>
          <w:p w14:paraId="74539C87" w14:textId="77777777" w:rsidR="00CB6F40" w:rsidRDefault="00FF2F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Повестка</w:t>
            </w:r>
          </w:p>
        </w:tc>
        <w:tc>
          <w:tcPr>
            <w:tcW w:w="8788" w:type="dxa"/>
          </w:tcPr>
          <w:p w14:paraId="46A8CCA5" w14:textId="2EEBC363" w:rsidR="00CB6F40" w:rsidRPr="00DC5B87" w:rsidRDefault="00DC5B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C5B8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Модель инженерной подготовки, реализуемая в Политехническом институте </w:t>
            </w:r>
            <w:proofErr w:type="spellStart"/>
            <w:r w:rsidRPr="00DC5B8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ВятГУ</w:t>
            </w:r>
            <w:proofErr w:type="spellEnd"/>
            <w:r w:rsidRPr="00DC5B8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7A7B74EC" w14:textId="6D41877B" w:rsidR="00DC5B87" w:rsidRPr="00DC5B87" w:rsidRDefault="00DC5B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C5B87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образовательных программ на основе самостоятельно разработанных образовательных стандартов</w:t>
            </w:r>
          </w:p>
          <w:p w14:paraId="3EEFEBAA" w14:textId="1530A4E3" w:rsidR="00DC5B87" w:rsidRPr="00DC5B87" w:rsidRDefault="00DC5B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C5B87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Представление результатов работы секций Консорциума НИО</w:t>
            </w:r>
          </w:p>
          <w:p w14:paraId="5A87C927" w14:textId="4DF6D07B" w:rsidR="00CB6F40" w:rsidRPr="00DC5B87" w:rsidRDefault="00DC5B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C5B87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Модели инженерного образования как предмет экспертизы Консорциума</w:t>
            </w:r>
            <w:r w:rsidRPr="00DC5B8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263CBFDA" w14:textId="3B3059D4" w:rsidR="00CB6F40" w:rsidRPr="00DC5B87" w:rsidRDefault="00DC5B8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C5B87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 xml:space="preserve">Анонс бриф-сессии </w:t>
            </w:r>
            <w:r w:rsidR="0077370B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в мае (17</w:t>
            </w:r>
            <w:r w:rsidRPr="00DC5B87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.05.2023)</w:t>
            </w:r>
            <w:r w:rsidRPr="00DC5B8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14:paraId="0398CA24" w14:textId="66BB0776" w:rsidR="00DC5B87" w:rsidRDefault="00DC5B87" w:rsidP="00DC5B87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8F868C" w14:textId="434E60D7" w:rsidR="00CB6F40" w:rsidRDefault="00CB6F40" w:rsidP="00DC5B87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CB6F40" w14:paraId="3859432D" w14:textId="77777777">
        <w:trPr>
          <w:trHeight w:val="391"/>
        </w:trPr>
        <w:tc>
          <w:tcPr>
            <w:tcW w:w="1844" w:type="dxa"/>
          </w:tcPr>
          <w:p w14:paraId="64EACADF" w14:textId="77777777" w:rsidR="00CB6F40" w:rsidRDefault="00FF2F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Результаты</w:t>
            </w:r>
          </w:p>
        </w:tc>
        <w:tc>
          <w:tcPr>
            <w:tcW w:w="8788" w:type="dxa"/>
          </w:tcPr>
          <w:p w14:paraId="1E75B0E5" w14:textId="77777777" w:rsidR="00CB6F40" w:rsidRDefault="00FF2F66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 первому вопросу:</w:t>
            </w:r>
          </w:p>
          <w:p w14:paraId="240FF98A" w14:textId="77777777" w:rsidR="00CB6F40" w:rsidRDefault="00CB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</w:p>
          <w:p w14:paraId="13E4ED64" w14:textId="729195F4" w:rsidR="00CB6F40" w:rsidRPr="00080D03" w:rsidRDefault="00FF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Слушали: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080D03" w:rsidRPr="00080D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Директора Политехнического института </w:t>
            </w:r>
            <w:proofErr w:type="spellStart"/>
            <w:r w:rsidR="00080D03" w:rsidRPr="00080D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ВятГУ</w:t>
            </w:r>
            <w:proofErr w:type="spellEnd"/>
            <w:r w:rsidR="00080D03" w:rsidRPr="00080D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, кандидата технических наук </w:t>
            </w:r>
            <w:r w:rsidR="00080D03" w:rsidRPr="00080D0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Губина И.В. </w:t>
            </w:r>
            <w:r w:rsidRPr="00080D0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</w:t>
            </w:r>
            <w:proofErr w:type="spellStart"/>
            <w:r w:rsidR="00080D03" w:rsidRPr="00080D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ВятГУ</w:t>
            </w:r>
            <w:proofErr w:type="spellEnd"/>
            <w:r w:rsidRPr="00080D0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), тема: </w:t>
            </w:r>
            <w:r w:rsidRPr="0008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</w:t>
            </w:r>
            <w:r w:rsidR="00080D03" w:rsidRPr="00080D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Модель инженерной подготовки, реализуемая в Политехническом институте </w:t>
            </w:r>
            <w:proofErr w:type="spellStart"/>
            <w:r w:rsidR="00080D03" w:rsidRPr="00080D0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ВятГУ</w:t>
            </w:r>
            <w:proofErr w:type="spellEnd"/>
            <w:r w:rsidRPr="0008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», приложение 1.</w:t>
            </w:r>
          </w:p>
          <w:p w14:paraId="5073C907" w14:textId="77777777" w:rsidR="00CB6F40" w:rsidRDefault="00FF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 обсуждении приняли участие: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04F3F820" w14:textId="2AD2921F" w:rsidR="00CB6F40" w:rsidRDefault="00A2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A22EC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Хлебников Н.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77370B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(</w:t>
            </w:r>
            <w:proofErr w:type="spellStart"/>
            <w:r w:rsidRPr="0059273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УрФУ</w:t>
            </w:r>
            <w:proofErr w:type="spellEnd"/>
            <w:r w:rsidRPr="0059273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)</w:t>
            </w:r>
            <w:r w:rsidR="00FF2F66" w:rsidRPr="0059273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:</w:t>
            </w:r>
            <w:r w:rsidR="00FF2F6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70371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Новые модели образования обычно создаются для подготовки специалистов для определённой отрасли (индустриального партнера). Для какой отрасли планируется подготовка специалистов по рассматриваемой «Ж»  модели? </w:t>
            </w:r>
            <w:r w:rsidR="0070371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2. Существует ли разработка инструментария оценки студентов, чтобы провести их классификацию (типизацию)? </w:t>
            </w:r>
            <w:r w:rsidR="0059273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3. Проводится</w:t>
            </w:r>
            <w:r w:rsidR="00D13823" w:rsidRP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59273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какая-либо</w:t>
            </w:r>
            <w:r w:rsidR="00D13823" w:rsidRP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дополнительная</w:t>
            </w:r>
            <w:r w:rsidR="0059273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мотивационная работа с ППС, занимающихся новым направлением педагогического дизайна?</w:t>
            </w:r>
          </w:p>
          <w:p w14:paraId="1E828A4A" w14:textId="7B368F9D" w:rsidR="00CB6F40" w:rsidRDefault="005927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Мамонова</w:t>
            </w:r>
            <w:r w:rsidR="00FF2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Т</w:t>
            </w:r>
            <w:r w:rsidR="00FF2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Е</w:t>
            </w:r>
            <w:r w:rsidR="00FF2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ТПУ</w:t>
            </w:r>
            <w:r w:rsidR="00FF2F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): </w:t>
            </w:r>
            <w:r w:rsidR="00FF2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Какой смысл заложен в </w:t>
            </w:r>
            <w:r w:rsidR="00F54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пустые блоки в «Ж» модели?</w:t>
            </w:r>
          </w:p>
          <w:p w14:paraId="4948A6FC" w14:textId="2105EEB1" w:rsidR="00CB6F40" w:rsidRDefault="00FF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Решили: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F54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Принять к сведению </w:t>
            </w:r>
            <w:r w:rsidRPr="00F540E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опыт внедрения</w:t>
            </w:r>
            <w:r w:rsidRPr="00F54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F540E7" w:rsidRPr="00F540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модели инженерной подготовки, реализуемой в Политехническом институте </w:t>
            </w:r>
            <w:proofErr w:type="spellStart"/>
            <w:r w:rsidR="00F540E7" w:rsidRPr="00F540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ВятГУ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</w:p>
          <w:p w14:paraId="033AEC70" w14:textId="77777777" w:rsidR="00CB6F40" w:rsidRDefault="00FF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2. Учесть опыт в работе Консорциума и секций. </w:t>
            </w:r>
          </w:p>
          <w:p w14:paraId="068D44D4" w14:textId="09C0FA83" w:rsidR="00CB6F40" w:rsidRDefault="00FF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Дополнительно: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1. </w:t>
            </w:r>
            <w:r w:rsidR="0070371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Специалисты - выпускники, прошедшие бучение по новой «Ж» модели, как правило испытывают сложности и не могут встроиться в организационн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ые</w:t>
            </w:r>
            <w:r w:rsidR="0070371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процессы уже имеющихся индустриальных партнеров, они либо создают новые технологические бизнесы, либо уезжают работать в большие корпорации за пределы региона. 2. На данный момент инструментарий оценки студентов для определения </w:t>
            </w:r>
            <w:r w:rsidR="0059273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типизации находится на стадии активной разработки, планируется разработать элементы оценки с помощью машинных технологий по анализу входных эссе, но на сегодняшний день возникает проблема связанная с малым количеством данных (эссе), по причине того, что модель только начала тестироваться и запускаться. 3. Уровень вовлеченности ППС в логику педагогического ди</w:t>
            </w:r>
            <w:r w:rsidR="007737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зайна постепенно увеличивается </w:t>
            </w:r>
            <w:r w:rsidR="0059273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 каждым годом, этому способствуют различные тренинги и обучения с привлечением внешних экспертов. </w:t>
            </w:r>
            <w:r w:rsidR="00F540E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4. Смысла в пустых блоках «Ж» модели нет, это просто сложный и 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недостаточно</w:t>
            </w:r>
            <w:r w:rsidR="00F540E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разработанный </w:t>
            </w:r>
            <w:proofErr w:type="spellStart"/>
            <w:r w:rsidR="00F540E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визуал</w:t>
            </w:r>
            <w:proofErr w:type="spellEnd"/>
            <w:r w:rsidR="00F540E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5. В настоящее время инженер не занимается вопросами смежных сфер, у него обычно узконаправленная деятельность. У инженера с большой буквы (нового инженера) должны быть широкие рамки </w:t>
            </w:r>
            <w:proofErr w:type="spellStart"/>
            <w:r w:rsidR="00F540E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мыследеятельности</w:t>
            </w:r>
            <w:proofErr w:type="spellEnd"/>
            <w:r w:rsidR="00F540E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 только внутри рассматриваемой задачи, но и за ее пределами, возможность находить решения не только в своей технологической парадигме, но и в смежных парадигмах. </w:t>
            </w:r>
            <w:r w:rsidR="0059273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</w:p>
          <w:p w14:paraId="74963F13" w14:textId="77777777" w:rsidR="00CB6F40" w:rsidRDefault="00CB6F40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42FEA65E" w14:textId="77777777" w:rsidR="00CB6F40" w:rsidRDefault="00FF2F66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По второму вопросу: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14:paraId="3E41330C" w14:textId="77777777" w:rsidR="00CB6F40" w:rsidRDefault="00CB6F40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66503776" w14:textId="07696D95" w:rsidR="00CB6F40" w:rsidRPr="00841734" w:rsidRDefault="00FF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Слушали: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F540E7" w:rsidRPr="0084173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Первого проректора - проректор по учебной работе, </w:t>
            </w:r>
            <w:r w:rsidR="00F540E7" w:rsidRPr="0084173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кандидата технических наук </w:t>
            </w:r>
            <w:proofErr w:type="spellStart"/>
            <w:r w:rsidR="00F540E7" w:rsidRPr="0084173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Падалкина</w:t>
            </w:r>
            <w:proofErr w:type="spellEnd"/>
            <w:r w:rsidR="00F540E7" w:rsidRPr="0084173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Б.В. </w:t>
            </w:r>
            <w:r w:rsidR="00841734" w:rsidRPr="0084173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(МГТУ им. 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Н.Э. </w:t>
            </w:r>
            <w:r w:rsidR="00841734" w:rsidRPr="0084173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Баумана)</w:t>
            </w:r>
            <w:r w:rsidR="00841734" w:rsidRPr="0084173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</w:t>
            </w:r>
            <w:r w:rsidRPr="0084173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приложение 2</w:t>
            </w:r>
          </w:p>
          <w:p w14:paraId="2E6C9D7C" w14:textId="77777777" w:rsidR="00CB6F40" w:rsidRPr="00841734" w:rsidRDefault="00CB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17E25BF1" w14:textId="77777777" w:rsidR="00CB6F40" w:rsidRPr="00841734" w:rsidRDefault="00FF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841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 обсуждении приняли участие:</w:t>
            </w:r>
          </w:p>
          <w:p w14:paraId="61EDE160" w14:textId="2AA976C3" w:rsidR="00CB6F40" w:rsidRDefault="00FF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</w:t>
            </w:r>
            <w:r w:rsidR="009F701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абаева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r w:rsidR="009F701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. </w:t>
            </w:r>
            <w:r w:rsidR="009F701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. (</w:t>
            </w:r>
            <w:r w:rsidR="009F701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ТПУ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: </w:t>
            </w:r>
            <w:r w:rsidR="00C81EA6" w:rsidRPr="00C81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1.</w:t>
            </w:r>
            <w:r w:rsidR="00C81E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C81EA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Как давно произошло внедрение технологий цифровой среды в МГТУ им. 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</w:t>
            </w:r>
            <w:r w:rsidR="00C81EA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.Э. Баумана? 2. Какие трудности возникли на пути внедрения?  </w:t>
            </w:r>
          </w:p>
          <w:p w14:paraId="7DEBFBE2" w14:textId="2D7CBC91" w:rsidR="00CB6F40" w:rsidRDefault="00C81EA6">
            <w:pP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Хлебников Н.А. </w:t>
            </w:r>
            <w:r w:rsidRPr="00C81EA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(</w:t>
            </w:r>
            <w:proofErr w:type="spellStart"/>
            <w:r w:rsidRPr="00C81EA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УрФУ</w:t>
            </w:r>
            <w:proofErr w:type="spellEnd"/>
            <w:r w:rsidRPr="00C81EA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)</w:t>
            </w:r>
            <w:r w:rsidR="00FF2F66" w:rsidRPr="00C81EA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:</w:t>
            </w:r>
            <w:r w:rsidR="00FF2F6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Проводится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работа с многообразием формулировок компетенций, чтобы университет и индустриальный партнер разговаривали на одном языке?</w:t>
            </w:r>
          </w:p>
          <w:p w14:paraId="705570C1" w14:textId="07C9430B" w:rsidR="00815E4D" w:rsidRPr="00815E4D" w:rsidRDefault="00815E4D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815E4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Рыжих Ю.Н. (ТГУ)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: 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</w:t>
            </w:r>
            <w:r w:rsidR="00D13823" w:rsidRPr="00815E4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МГТУ им. 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</w:t>
            </w:r>
            <w:r w:rsidR="00D13823" w:rsidRPr="00815E4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.Э. Баумана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 рамках подготовки инженеров </w:t>
            </w:r>
            <w:proofErr w:type="spellStart"/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присутсвуют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элементы инженерного ядра, элементы идей ПИШ и элементы проектной деятельности на 1 и 2 курсах?</w:t>
            </w:r>
          </w:p>
          <w:p w14:paraId="612B0F66" w14:textId="77777777" w:rsidR="00CB6F40" w:rsidRPr="00841734" w:rsidRDefault="00CB6F40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5DDEB543" w14:textId="77777777" w:rsidR="00841734" w:rsidRPr="00841734" w:rsidRDefault="00FF2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Решили: </w:t>
            </w:r>
            <w:r w:rsidRPr="0084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1.</w:t>
            </w:r>
            <w:r w:rsidRPr="00841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41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Принять к сведению</w:t>
            </w:r>
            <w:r w:rsidRPr="0084173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841734" w:rsidRPr="0084173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информацию о </w:t>
            </w:r>
            <w:r w:rsidR="00841734" w:rsidRPr="00841734">
              <w:rPr>
                <w:rFonts w:ascii="Times New Roman" w:hAnsi="Times New Roman" w:cs="Times New Roman"/>
                <w:sz w:val="20"/>
                <w:szCs w:val="20"/>
              </w:rPr>
              <w:t>разработке и реализации образовательных программ на основе самостоятельно разработанных образовательных стандартов в МГТУ им. М.Э. Баумана.</w:t>
            </w:r>
          </w:p>
          <w:p w14:paraId="4BFAB776" w14:textId="43B124FB" w:rsidR="00CB6F40" w:rsidRDefault="00841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r w:rsidR="00FF2F6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Дополнительно: </w:t>
            </w:r>
            <w:r w:rsidR="00FF2F6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1. </w:t>
            </w:r>
            <w:r w:rsidR="00C81EA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Внедрение технологий цифровой среды в МГТУ им. </w:t>
            </w:r>
            <w:r w:rsidR="00D1382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</w:t>
            </w:r>
            <w:r w:rsidR="00C81EA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.Э. Баумана началось примерно 15 лет назад. Среда написана высококвалифицированными </w:t>
            </w:r>
            <w:proofErr w:type="gramStart"/>
            <w:r w:rsidR="00C81EA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разработчиками</w:t>
            </w:r>
            <w:proofErr w:type="gramEnd"/>
            <w:r w:rsidR="00C81EA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 она изолирована от внешней среды, что однозначно является большим плюсом в плане безопасности хранения информации. 2. Сложности возникают с наличием высококвалифицированных разработчиков и с внедрением постоянных изменений в нормативной базе, что в свою очередь способствует внесению изменений в уже имеющейся цифровой среде (постоянные обновления и написание новых модулей). </w:t>
            </w:r>
            <w:r w:rsidR="003B328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3. Для того, чтобы университет и индустриальный партнер разговаривали на одном языке в университете 10% сотрудников являются внешними совместителями – работниками организаций промышленности, поэтому в диалоге о компетенциях формируется взаимопонимание, </w:t>
            </w:r>
            <w:proofErr w:type="spellStart"/>
            <w:r w:rsidR="003B328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</w:t>
            </w:r>
            <w:proofErr w:type="gramStart"/>
            <w:r w:rsidR="003B328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.е</w:t>
            </w:r>
            <w:proofErr w:type="spellEnd"/>
            <w:proofErr w:type="gramEnd"/>
            <w:r w:rsidR="003B328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происходит постоянный контакт с представителям промышленности. Необходимо постоянно изучать профессиональные стандарты и </w:t>
            </w:r>
            <w:r w:rsidR="00815E4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 соответствии с ними все время формировать язык компетенций. 4. Инженеры должны опираться на общность каких-либо практик, что и является инженерным ядром, базой, которой владеют все инженеры. Инженерные школы тоже присутствуют, они в основном для специалистов уже имеющих опыт в инженерии, основная идея заключается в том, чтобы инженеров с опытом научить вопросам системного проектирования. На 1м и 2м курсах у студентов есть элементы проектной деятельности, но в рамках определенных дисциплин, так как первые курсы обучения ориентированы на формирование фундаментальной основы у будущих инженеров,  основная проектная деятельность начинается с 3го курса. </w:t>
            </w:r>
          </w:p>
          <w:p w14:paraId="6C5D09EC" w14:textId="77777777" w:rsidR="00CB6F40" w:rsidRDefault="00CB6F40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48529DB1" w14:textId="77777777" w:rsidR="00CB6F40" w:rsidRDefault="00FF2F66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 третьему вопросу:</w:t>
            </w:r>
          </w:p>
          <w:p w14:paraId="24786BFD" w14:textId="77777777" w:rsidR="00CB6F40" w:rsidRDefault="00CB6F40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3AD396D6" w14:textId="7376BA9D" w:rsidR="00CB6F40" w:rsidRPr="00C34B2A" w:rsidRDefault="00FF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Слушали</w:t>
            </w:r>
            <w:r w:rsidRPr="001F24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:</w:t>
            </w:r>
            <w:r w:rsidRPr="001F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8A4CBA" w:rsidRPr="001F24F3">
              <w:rPr>
                <w:rFonts w:ascii="Times New Roman" w:eastAsia="Arial" w:hAnsi="Times New Roman" w:cs="Times New Roman"/>
                <w:sz w:val="20"/>
                <w:szCs w:val="20"/>
              </w:rPr>
              <w:t>эксперт</w:t>
            </w:r>
            <w:r w:rsidR="001F24F3" w:rsidRPr="001F24F3">
              <w:rPr>
                <w:rFonts w:ascii="Times New Roman" w:eastAsia="Arial" w:hAnsi="Times New Roman" w:cs="Times New Roman"/>
                <w:sz w:val="20"/>
                <w:szCs w:val="20"/>
              </w:rPr>
              <w:t>а</w:t>
            </w:r>
            <w:r w:rsidR="008A4CBA" w:rsidRPr="001F24F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лаборатории “Нового инженерного образования”</w:t>
            </w:r>
            <w:r w:rsidR="001F24F3" w:rsidRPr="001F24F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hyperlink r:id="rId7">
              <w:r w:rsidR="001F24F3" w:rsidRPr="001F24F3">
                <w:rPr>
                  <w:rFonts w:ascii="Times New Roman" w:eastAsia="Arial" w:hAnsi="Times New Roman" w:cs="Times New Roman"/>
                  <w:sz w:val="20"/>
                  <w:szCs w:val="20"/>
                  <w:shd w:val="clear" w:color="auto" w:fill="F9F9F9"/>
                </w:rPr>
                <w:t>Трушкину Е. С.</w:t>
              </w:r>
            </w:hyperlink>
            <w:r w:rsidR="001F24F3" w:rsidRPr="001F24F3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9F9F9"/>
              </w:rPr>
              <w:t xml:space="preserve"> (ТПУ)</w:t>
            </w:r>
            <w:r w:rsidRPr="001F24F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приложение 3</w:t>
            </w:r>
          </w:p>
          <w:p w14:paraId="74883D9A" w14:textId="77777777" w:rsidR="00C34B2A" w:rsidRPr="00841734" w:rsidRDefault="00C34B2A" w:rsidP="00C34B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841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В обсуждении приняли участие:</w:t>
            </w:r>
          </w:p>
          <w:p w14:paraId="5B52527A" w14:textId="19BEB0CC" w:rsidR="00C34B2A" w:rsidRDefault="00C34B2A" w:rsidP="00C3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C34B2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Губин И. В. (</w:t>
            </w:r>
            <w:proofErr w:type="spellStart"/>
            <w:r w:rsidRPr="00C34B2A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ВятГУ</w:t>
            </w:r>
            <w:proofErr w:type="spellEnd"/>
            <w:r w:rsidRPr="00C34B2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)</w:t>
            </w:r>
            <w:r w:rsidRPr="00C34B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: </w:t>
            </w:r>
            <w:r w:rsidRPr="00C3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1. Не хватает образа инженера будущего, чтобы это учесть</w:t>
            </w:r>
            <w:r w:rsidR="00181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и использовать</w:t>
            </w:r>
            <w:r w:rsidRPr="00C3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для описания и создания новых моделей инженерного образования. </w:t>
            </w:r>
          </w:p>
          <w:p w14:paraId="2CE1FBDE" w14:textId="30E7EE9C" w:rsidR="00C34B2A" w:rsidRPr="00C34B2A" w:rsidRDefault="00C34B2A" w:rsidP="00C3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34B2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Рублева О. А. (</w:t>
            </w:r>
            <w:proofErr w:type="spellStart"/>
            <w:r w:rsidRPr="00C34B2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ВятГу</w:t>
            </w:r>
            <w:proofErr w:type="spellEnd"/>
            <w:r w:rsidRPr="00C34B2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): </w:t>
            </w:r>
            <w:r w:rsidRPr="00C34B2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1. Модель можно </w:t>
            </w:r>
            <w:proofErr w:type="gramStart"/>
            <w:r w:rsidRPr="00C34B2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дополнить</w:t>
            </w:r>
            <w:proofErr w:type="gramEnd"/>
            <w:r w:rsidRPr="00C34B2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раскрыв ситуацию с точки зрения трендов отрасли. </w:t>
            </w:r>
          </w:p>
          <w:p w14:paraId="1693785E" w14:textId="69504BA4" w:rsidR="001F24F3" w:rsidRPr="00C34B2A" w:rsidRDefault="00FF2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Решили: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1. Принять к сведению информацию</w:t>
            </w:r>
            <w:r w:rsidR="001F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1F24F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1F24F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м</w:t>
            </w:r>
            <w:r w:rsidR="001F24F3" w:rsidRPr="00DC5B87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одели инженерного образования как предмет экспертизы Консорциума</w:t>
            </w:r>
            <w:bookmarkStart w:id="1" w:name="_heading=h.gjdgxs" w:colFirst="0" w:colLast="0"/>
            <w:bookmarkEnd w:id="1"/>
            <w:r w:rsidR="001F24F3">
              <w:rPr>
                <w:rFonts w:ascii="Times New Roman" w:eastAsia="Arial" w:hAnsi="Times New Roman" w:cs="Times New Roman"/>
                <w:sz w:val="20"/>
                <w:szCs w:val="20"/>
                <w:highlight w:val="white"/>
              </w:rPr>
              <w:t>.</w:t>
            </w:r>
            <w:r w:rsidR="001F24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0021BE" w:rsidRPr="00C3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2. Решили взять в рассмотрение задачу спроектировать и критически осмыслить </w:t>
            </w:r>
            <w:r w:rsidR="00C34B2A" w:rsidRPr="00C3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предложенные параметры для </w:t>
            </w:r>
            <w:r w:rsidR="00181B5D" w:rsidRPr="00C3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описания</w:t>
            </w:r>
            <w:r w:rsidR="00C34B2A" w:rsidRPr="00C3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модели. 3.</w:t>
            </w:r>
            <w:r w:rsidR="00181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Создать </w:t>
            </w:r>
            <w:r w:rsidR="00C34B2A" w:rsidRPr="00C3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общую таблицу</w:t>
            </w:r>
            <w:r w:rsidR="00181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параметров модели инженерного образования</w:t>
            </w:r>
            <w:r w:rsidR="00C34B2A" w:rsidRPr="00C3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 целью внесения корректировок всеми участниками консорциума. </w:t>
            </w:r>
          </w:p>
          <w:p w14:paraId="610C850E" w14:textId="6160F307" w:rsidR="00CB6F40" w:rsidRPr="00C34B2A" w:rsidRDefault="00FF2F66" w:rsidP="00C34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2" w:name="_heading=h.sz11sqnv0wjb" w:colFirst="0" w:colLast="0"/>
            <w:bookmarkEnd w:id="2"/>
            <w:r w:rsidRPr="00C34B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 </w:t>
            </w:r>
          </w:p>
        </w:tc>
      </w:tr>
    </w:tbl>
    <w:p w14:paraId="7B23B80C" w14:textId="7DF60D7B" w:rsidR="00CB6F40" w:rsidRDefault="00FF2F66">
      <w:pPr>
        <w:ind w:right="141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 xml:space="preserve">Ведущий                                                                                                                       Кабаева Е.В. </w:t>
      </w:r>
    </w:p>
    <w:p w14:paraId="7560B4A5" w14:textId="77777777" w:rsidR="00CB6F40" w:rsidRDefault="00FF2F66">
      <w:p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Секретарь                                                                                                                      Ли Ю.В.      </w:t>
      </w:r>
    </w:p>
    <w:p w14:paraId="19FF0618" w14:textId="77777777" w:rsidR="00CB6F40" w:rsidRDefault="00CB6F4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B6F40" w:rsidSect="00181B5D">
      <w:pgSz w:w="11906" w:h="16838"/>
      <w:pgMar w:top="426" w:right="1558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7C60"/>
    <w:multiLevelType w:val="multilevel"/>
    <w:tmpl w:val="60922F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7724248"/>
    <w:multiLevelType w:val="multilevel"/>
    <w:tmpl w:val="EB188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61EE0"/>
    <w:multiLevelType w:val="multilevel"/>
    <w:tmpl w:val="6AB4FF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13B23CC"/>
    <w:multiLevelType w:val="multilevel"/>
    <w:tmpl w:val="E20A50C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0"/>
    <w:rsid w:val="000021BE"/>
    <w:rsid w:val="00080D03"/>
    <w:rsid w:val="000C6FB0"/>
    <w:rsid w:val="00181B5D"/>
    <w:rsid w:val="001B0FC8"/>
    <w:rsid w:val="001F24F3"/>
    <w:rsid w:val="001F3892"/>
    <w:rsid w:val="003B3289"/>
    <w:rsid w:val="00592736"/>
    <w:rsid w:val="0070371E"/>
    <w:rsid w:val="0077370B"/>
    <w:rsid w:val="00815E4D"/>
    <w:rsid w:val="00841734"/>
    <w:rsid w:val="008A4CBA"/>
    <w:rsid w:val="009F701C"/>
    <w:rsid w:val="00A22EC4"/>
    <w:rsid w:val="00C34B2A"/>
    <w:rsid w:val="00C81EA6"/>
    <w:rsid w:val="00CB6F40"/>
    <w:rsid w:val="00D13823"/>
    <w:rsid w:val="00DC5B87"/>
    <w:rsid w:val="00F540E7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8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5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55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D558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E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55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558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D558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3E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aff.tpu.ru/personal/employee?lid=6346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SYJ5PSC2cURyvPfB64V4CTcvUw==">AMUW2mXY7O5cC06t+rlYX9E8+cyElGIHCJfwbedWP4u2A4EHQ3e+gHZgkoiFxXp/p2HRcxTA6c0Sc5Hp+8gxwtLy4m3gXIz2xh5J1lY/+7RnmdND0sS628PFqSNfWfFqU/BwxXuJfuQEWplu9SBwyyxQOhDp10S7Pg==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V. Li</dc:creator>
  <cp:lastModifiedBy>julka</cp:lastModifiedBy>
  <cp:revision>9</cp:revision>
  <dcterms:created xsi:type="dcterms:W3CDTF">2023-04-25T08:08:00Z</dcterms:created>
  <dcterms:modified xsi:type="dcterms:W3CDTF">2023-05-03T09:29:00Z</dcterms:modified>
</cp:coreProperties>
</file>